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A3" w:rsidRPr="00D0311E" w:rsidRDefault="00E52FA3" w:rsidP="00E52FA3">
      <w:pPr>
        <w:jc w:val="center"/>
        <w:rPr>
          <w:sz w:val="20"/>
          <w:szCs w:val="20"/>
        </w:rPr>
      </w:pPr>
      <w:r w:rsidRPr="00D0311E">
        <w:rPr>
          <w:rFonts w:ascii="Times New Roman" w:hAnsi="Times New Roman" w:cs="Times New Roman"/>
          <w:b/>
          <w:sz w:val="28"/>
          <w:szCs w:val="28"/>
        </w:rPr>
        <w:t xml:space="preserve">2015 Quality Performance Results Table 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1592"/>
        <w:gridCol w:w="4996"/>
        <w:gridCol w:w="1620"/>
        <w:gridCol w:w="1440"/>
      </w:tblGrid>
      <w:tr w:rsidR="00D0311E" w:rsidRPr="00D0311E" w:rsidTr="00D0311E">
        <w:tc>
          <w:tcPr>
            <w:tcW w:w="1592" w:type="dxa"/>
            <w:vMerge w:val="restart"/>
            <w:shd w:val="clear" w:color="auto" w:fill="4F81BD" w:themeFill="accent1"/>
            <w:vAlign w:val="center"/>
          </w:tcPr>
          <w:p w:rsidR="00E52FA3" w:rsidRPr="00D0311E" w:rsidRDefault="00E52FA3" w:rsidP="00D0311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0311E">
              <w:rPr>
                <w:b/>
                <w:color w:val="FFFFFF" w:themeColor="background1"/>
                <w:sz w:val="20"/>
                <w:szCs w:val="20"/>
              </w:rPr>
              <w:t>Measure number</w:t>
            </w:r>
          </w:p>
        </w:tc>
        <w:tc>
          <w:tcPr>
            <w:tcW w:w="4996" w:type="dxa"/>
            <w:vMerge w:val="restart"/>
            <w:shd w:val="clear" w:color="auto" w:fill="4F81BD" w:themeFill="accent1"/>
            <w:vAlign w:val="center"/>
          </w:tcPr>
          <w:p w:rsidR="00E52FA3" w:rsidRPr="00D0311E" w:rsidRDefault="00E52FA3" w:rsidP="00D0311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0311E">
              <w:rPr>
                <w:b/>
                <w:color w:val="FFFFFF" w:themeColor="background1"/>
                <w:sz w:val="20"/>
                <w:szCs w:val="20"/>
              </w:rPr>
              <w:t>Measure Name 2015</w:t>
            </w:r>
          </w:p>
        </w:tc>
        <w:tc>
          <w:tcPr>
            <w:tcW w:w="3060" w:type="dxa"/>
            <w:gridSpan w:val="2"/>
            <w:shd w:val="clear" w:color="auto" w:fill="4F81BD" w:themeFill="accent1"/>
            <w:vAlign w:val="bottom"/>
          </w:tcPr>
          <w:p w:rsidR="00E52FA3" w:rsidRPr="00D0311E" w:rsidRDefault="00E52FA3" w:rsidP="00D0311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0311E">
              <w:rPr>
                <w:b/>
                <w:color w:val="FFFFFF" w:themeColor="background1"/>
                <w:sz w:val="20"/>
                <w:szCs w:val="20"/>
              </w:rPr>
              <w:t>2015 reporting period</w:t>
            </w:r>
          </w:p>
        </w:tc>
      </w:tr>
      <w:tr w:rsidR="00D0311E" w:rsidRPr="00D0311E" w:rsidTr="00D0311E">
        <w:tc>
          <w:tcPr>
            <w:tcW w:w="1592" w:type="dxa"/>
            <w:vMerge/>
            <w:shd w:val="clear" w:color="auto" w:fill="4F81BD" w:themeFill="accent1"/>
            <w:vAlign w:val="bottom"/>
          </w:tcPr>
          <w:p w:rsidR="00E52FA3" w:rsidRPr="00D0311E" w:rsidRDefault="00E52FA3" w:rsidP="00D0311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96" w:type="dxa"/>
            <w:vMerge/>
            <w:shd w:val="clear" w:color="auto" w:fill="4F81BD" w:themeFill="accent1"/>
            <w:vAlign w:val="bottom"/>
          </w:tcPr>
          <w:p w:rsidR="00E52FA3" w:rsidRPr="00D0311E" w:rsidRDefault="00E52FA3" w:rsidP="00D0311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4F81BD" w:themeFill="accent1"/>
            <w:vAlign w:val="bottom"/>
          </w:tcPr>
          <w:p w:rsidR="00E52FA3" w:rsidRPr="00D0311E" w:rsidRDefault="00E52FA3" w:rsidP="00D0311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0311E">
              <w:rPr>
                <w:b/>
                <w:color w:val="FFFFFF" w:themeColor="background1"/>
                <w:sz w:val="20"/>
                <w:szCs w:val="20"/>
              </w:rPr>
              <w:t>ACO performance rate</w:t>
            </w:r>
          </w:p>
        </w:tc>
        <w:tc>
          <w:tcPr>
            <w:tcW w:w="1440" w:type="dxa"/>
            <w:shd w:val="clear" w:color="auto" w:fill="4F81BD" w:themeFill="accent1"/>
            <w:vAlign w:val="bottom"/>
          </w:tcPr>
          <w:p w:rsidR="00E52FA3" w:rsidRPr="00D0311E" w:rsidRDefault="00E52FA3" w:rsidP="00D0311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0311E">
              <w:rPr>
                <w:b/>
                <w:color w:val="FFFFFF" w:themeColor="background1"/>
                <w:sz w:val="20"/>
                <w:szCs w:val="20"/>
              </w:rPr>
              <w:t>Mean performance rate (SSP- ACOs)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BF184D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ACO-1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Getting Timely Care, Appointments, and Information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79.48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80.61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 -2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2 CAHPS: How Well Your Providers Communicate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92.86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92.65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BF184D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ACO-3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CAHPS: Patients’ Rating of Provider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92.83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91.94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ACO-4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CAHPS: Access to Specialists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88.32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83.61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ACO-5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CAHPS: Health Promotion and Education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61.42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59.06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ACO-6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CAHPS: Shared Decision Making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71.88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75.17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ACO-7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CAHPS: Health Status/Functional Status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71.85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72.30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ACO-34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CAHPS: Stewardship of Patient Resources*</w:t>
            </w:r>
          </w:p>
        </w:tc>
        <w:tc>
          <w:tcPr>
            <w:tcW w:w="1620" w:type="dxa"/>
          </w:tcPr>
          <w:p w:rsidR="00472881" w:rsidRPr="00472881" w:rsidRDefault="00472881" w:rsidP="00E52FA3">
            <w:pPr>
              <w:jc w:val="center"/>
            </w:pPr>
            <w:r w:rsidRPr="00472881">
              <w:rPr>
                <w:noProof/>
              </w:rPr>
              <w:t>35.15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26.87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ACO-8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Risk Standardized, All Condition Readmission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14.21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14.86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ACO-35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Skilled Nursing Facility 30-Day All-Cause Readmission Measure (SNFRM)* Readmission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16.77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18.07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ACO-36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All-Cause Unplanned Admissions for Patients with Diabetes*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46.08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54.60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ACO-37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All-Cause Unplanned Admissions for Patients with Heart Failure*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65.40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76.96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ACO-38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All-Cause Unplanned Admissions for Patients with Multiple Chronic Conditions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52.71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62.92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ACO-9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Ambulatory Sensitive Condition Admissions: Chronic Obstructive Pulmonary Disease or Asthma in Older Adults (AHRQ Prevention Quality Indicator (PQI) #5)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1.04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1.11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ACO-10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Ambulatory Sensitive Conditions Admissions: Heart Failure (AHRQ Prevention Quality Indicator (PQI) #8)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0.92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1.04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ACO-11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Percent of Primary Care Physicians who Successfully Meet Meaningful Use Requirements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77.32%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80.14%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ACO-39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Documentation of Current Medications in the Medical Record*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81.52%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84.07%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ACO-13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Falls: Screening for Future Fall Risk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69.38%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56.46%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ACO-14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Preventive Care and Screening: Influenza Immunization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81.50%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62.03%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ACO-15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Pneumonia Vaccination Status for Older Adults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80.59%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63.73%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ACO-16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Preventive Care and Screening: Body Mass Index (BMI) Screening and Follow-up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68.95%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71.15%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ACO-17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Preventive Care and Screening: Tobacco Use: Screening and Cessation Intervention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93.20%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90.16%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ACO-18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Preventive Care and Screening: Screening for Clinical Depression and Follow-up Plan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85.13%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45.25%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ACO-19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Colorectal Cancer Screening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59.70%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60.06%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ACO-20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Breast Cancer Screening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69.37%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65.67%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ACO-21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Preventive Care and Screening: Screening for High Blood Pressure and Follow-Up Documented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66.04%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70.04%</w:t>
            </w:r>
          </w:p>
        </w:tc>
      </w:tr>
      <w:tr w:rsidR="00E52FA3" w:rsidRPr="00D0311E" w:rsidTr="00E52FA3">
        <w:tc>
          <w:tcPr>
            <w:tcW w:w="1592" w:type="dxa"/>
          </w:tcPr>
          <w:p w:rsidR="00E52FA3" w:rsidRPr="00D0311E" w:rsidRDefault="00FE6CC6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ACO-40</w:t>
            </w:r>
          </w:p>
        </w:tc>
        <w:tc>
          <w:tcPr>
            <w:tcW w:w="4996" w:type="dxa"/>
          </w:tcPr>
          <w:p w:rsidR="00E52FA3" w:rsidRPr="00D0311E" w:rsidRDefault="00E52FA3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Depression Remission at Twelve Months*</w:t>
            </w:r>
          </w:p>
        </w:tc>
        <w:tc>
          <w:tcPr>
            <w:tcW w:w="1620" w:type="dxa"/>
          </w:tcPr>
          <w:p w:rsidR="00E52FA3" w:rsidRPr="00D0311E" w:rsidRDefault="00E52FA3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E52FA3" w:rsidRPr="00D0311E" w:rsidRDefault="00E52FA3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N/A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ACO-27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Diabetes Mellitus: Hemoglobin A1c Poor Control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17.48%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20.38%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ACO-41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Diabetes: Eye Exam*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50.35%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41.05%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lastRenderedPageBreak/>
              <w:t>ACO-28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Hypertension: Controlling High Blood Pressure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70.00%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69.62%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ACO-30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Ischemic Vascular Disease: Use of Aspirin or Another Antithrombotic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83.82%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83.82%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ACO-31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Heart Failure: Beta-Blocker Therapy for Left Ventricular Systolic Dysfunction (LVSD)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85.61%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87.22%</w:t>
            </w:r>
          </w:p>
        </w:tc>
      </w:tr>
      <w:tr w:rsidR="00472881" w:rsidRPr="00D0311E" w:rsidTr="00E52FA3">
        <w:tc>
          <w:tcPr>
            <w:tcW w:w="1592" w:type="dxa"/>
          </w:tcPr>
          <w:p w:rsidR="00472881" w:rsidRPr="00D0311E" w:rsidRDefault="00472881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ACO-33</w:t>
            </w:r>
          </w:p>
        </w:tc>
        <w:tc>
          <w:tcPr>
            <w:tcW w:w="4996" w:type="dxa"/>
          </w:tcPr>
          <w:p w:rsidR="00472881" w:rsidRPr="00D0311E" w:rsidRDefault="00472881" w:rsidP="00E52FA3">
            <w:pPr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Angiotensin-Converting Enzyme (ACE) Inhibitor or Angiotensin Receptor Blocker (ARB) Therapy - for patients with CAD and Diabetes or Left Ventricular Systolic Dysfunction (LVEF&lt;40%)</w:t>
            </w:r>
          </w:p>
        </w:tc>
        <w:tc>
          <w:tcPr>
            <w:tcW w:w="162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77.08%</w:t>
            </w:r>
          </w:p>
        </w:tc>
        <w:tc>
          <w:tcPr>
            <w:tcW w:w="1440" w:type="dxa"/>
          </w:tcPr>
          <w:p w:rsidR="00472881" w:rsidRDefault="00472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77.73%</w:t>
            </w:r>
          </w:p>
        </w:tc>
      </w:tr>
      <w:tr w:rsidR="00E52FA3" w:rsidRPr="00D0311E" w:rsidTr="007B220B">
        <w:tc>
          <w:tcPr>
            <w:tcW w:w="9648" w:type="dxa"/>
            <w:gridSpan w:val="4"/>
          </w:tcPr>
          <w:p w:rsidR="00E52FA3" w:rsidRPr="00D0311E" w:rsidRDefault="00E52FA3" w:rsidP="00E52FA3">
            <w:pPr>
              <w:jc w:val="center"/>
              <w:rPr>
                <w:sz w:val="20"/>
                <w:szCs w:val="20"/>
              </w:rPr>
            </w:pPr>
            <w:r w:rsidRPr="00D0311E">
              <w:rPr>
                <w:sz w:val="20"/>
                <w:szCs w:val="20"/>
              </w:rPr>
              <w:t>CAHPS = Consumer Assessment of Healthcare Providers and Systems, PQI = Prevention Quality Indicator, LVSD = left ventricular systolic dysfunction, ACE = angiotensin-converting enzyme, ARB = angiotensin receptor blocker, CAD = coronary artery disease. *= Measure required beginning Reporting Year 2015. N/A= Reporting on the depression remission measure is not required for 2015, as indicated by N/A</w:t>
            </w:r>
          </w:p>
        </w:tc>
      </w:tr>
    </w:tbl>
    <w:p w:rsidR="00472881" w:rsidRDefault="00472881" w:rsidP="00E52FA3">
      <w:pPr>
        <w:jc w:val="center"/>
      </w:pPr>
    </w:p>
    <w:p w:rsidR="00472881" w:rsidRPr="00472881" w:rsidRDefault="00472881" w:rsidP="00472881"/>
    <w:p w:rsidR="00472881" w:rsidRPr="00472881" w:rsidRDefault="00472881" w:rsidP="00472881"/>
    <w:p w:rsidR="00472881" w:rsidRPr="00472881" w:rsidRDefault="00472881" w:rsidP="00472881"/>
    <w:p w:rsidR="00472881" w:rsidRPr="00472881" w:rsidRDefault="00472881" w:rsidP="00472881"/>
    <w:p w:rsidR="00472881" w:rsidRDefault="00472881" w:rsidP="00472881"/>
    <w:p w:rsidR="00E52FA3" w:rsidRPr="00472881" w:rsidRDefault="00E52FA3" w:rsidP="00472881">
      <w:pPr>
        <w:jc w:val="right"/>
      </w:pPr>
      <w:bookmarkStart w:id="0" w:name="_GoBack"/>
      <w:bookmarkEnd w:id="0"/>
    </w:p>
    <w:sectPr w:rsidR="00E52FA3" w:rsidRPr="00472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A3"/>
    <w:rsid w:val="002A72AC"/>
    <w:rsid w:val="00472881"/>
    <w:rsid w:val="00BF184D"/>
    <w:rsid w:val="00D0311E"/>
    <w:rsid w:val="00E52FA3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Health System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Huggins, Shannon</dc:creator>
  <cp:lastModifiedBy>Miller, Amanda N</cp:lastModifiedBy>
  <cp:revision>2</cp:revision>
  <dcterms:created xsi:type="dcterms:W3CDTF">2016-10-06T15:36:00Z</dcterms:created>
  <dcterms:modified xsi:type="dcterms:W3CDTF">2016-10-06T15:36:00Z</dcterms:modified>
</cp:coreProperties>
</file>